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d7c39d10b96946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