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a41401bc6eb748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