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C3C94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C3C94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C3C94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C3C94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B02620D7-895C-48B0-BE7F-1F5DFF52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