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8a5c012f702947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