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10, </w:t>
            </w:r>
            <w:r>
              <w:rPr>
                <w:sz w:val="18"/>
                <w:szCs w:val="20"/>
                <w:lang w:val="pt-PT" w:eastAsia="pt-PT"/>
              </w:rPr>
              <w:t>10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LA2024-0393-01-01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PT243663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"ENCOSTA DO SONHOS" - BERÇÁRIO, CRECHE, INFANTÁRIO, ATL- LDA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RUA JAIME LEÃO PINTO, Nº 116,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4590-869</w:t>
            </w:r>
            <w:r>
              <w:rPr>
                <w:sz w:val="18"/>
                <w:szCs w:val="20"/>
                <w:lang w:val="pt-PT" w:eastAsia="pt-PT"/>
              </w:rPr>
              <w:t>Paços de Ferreira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Assiseleva II, Lda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r>
              <w:tbl>
                <w:tblPr>
                  <w:tblStyle w:val="Custom1"/>
                  <w:tblW w:w="11330" w:type="dxa"/>
                  <w:tblLook w:val="04A0"/>
                </w:tblPr>
                <w:tr w:rsidR="00296796" w:rsidTr="00957B38">
                  <w:tc>
                    <w:p w:rsidR="00296796" w:rsidP="00296796" w:rsidRDefault="00296796">
                      <w:r>
                        <w:t>Tipo</w:t>
                      </w:r>
                    </w:p>
                  </w:tc>
                  <w:tc>
                    <w:p w:rsidR="00296796" w:rsidP="00296796" w:rsidRDefault="00296796">
                      <w:r>
                        <w:t>Deficiência detectada</w:t>
                      </w:r>
                    </w:p>
                  </w:tc>
                </w:tr>
                <w:tr w:rsidR="00296796" w:rsidTr="00957B38">
                  <w:tc>
                    <w:p w:rsidR="00296796" w:rsidP="00296796" w:rsidRDefault="00296796">
                      <w:r>
                        <w:t>C2*</w:t>
                      </w:r>
                    </w:p>
                  </w:tc>
                  <w:tc>
                    <w:p w:rsidR="00296796" w:rsidP="00296796" w:rsidRDefault="00296796">
                      <w:r>
                        <w:t>0.3.2-C3-NÃO ESTÃO REUNIDAS AS REGRAS TÉCNICAS GERAIS APLICÁVEIS À CONTRUÇÃO CIVIL E/OU ELÉTRICA E/OU MECÂNICAS DE EDIFICIOS</w:t>
                      </w:r>
                    </w:p>
                  </w:tc>
                  <w:trPr/>
                </w:tr>
                <w:bookmarkEnd w:id="0"/>
              </w:tbl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 C2* - A regularizar no prazo máximo de 2 anos após a sua deteção, conforme Despacho n.º 17/2022/DG de 8 de junho de 2022.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PT243663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2024/04/16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9c659ef35504a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t1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Assiseleva II, Lda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Ascensor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d9c659ef35504a4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ReportElevatorSummary_V10_128.dotx" TargetMode="External" Id="R77dc37d5c70f4e1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