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R. MIGUEL SERRANO, </w:t>
            </w:r>
            <w:r>
              <w:rPr>
                <w:sz w:val="18"/>
                <w:szCs w:val="20"/>
                <w:lang w:val="pt-PT" w:eastAsia="pt-PT"/>
              </w:rPr>
              <w:t>N. 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LA2024-0691-01-01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1495-000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Algés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Oeiras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11.10/003884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VICTÓRIA - SEGUROS DE VIDA, S.A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Alcodi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AV. LIBERDADE, 196,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Amadeu F. Silva, Lda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Extraordinária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10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13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15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16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14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17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C2*</w:t>
                  </w:r>
                </w:p>
              </w:tc>
              <w:tc>
                <w:p w:rsidR="00296796" w:rsidP="00296796" w:rsidRDefault="00296796">
                  <w:r>
                    <w:t>Ponto 0.5.2.b - NÃO ESTÃO REUNIDAS AS CONDIÇÕES DE SEGURANÇA PARA O PESSOAL DE CONSERVAÇÃO E/OU INSPECÇÃO.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 C2* - A regularizar no prazo máximo de 2 anos após a sua deteção, conforme Despacho n.º 17/2022/DG de 8 de junho de 2022.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Tapete Rolante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11.10/003884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2024-12-10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2026/12/10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2026-11-10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2024-12-10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57a78c514f847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1ebd16c93c343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a65df3d2e3c46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ADMINISTRAÇÃO DO EDIFÍCIO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Amadeu F. Silva, Lda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Tapete Rolante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357a78c514f847d4" /><Relationship Type="http://schemas.openxmlformats.org/officeDocument/2006/relationships/image" Target="/media/image2.bin" Id="R2a65df3d2e3c4632" /><Relationship Type="http://schemas.openxmlformats.org/officeDocument/2006/relationships/image" Target="/media/image3.bin" Id="R31ebd16c93c3432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7b29e173a6a04b4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