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6a37d33f8344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56a37d33f834415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8ce2d8412e614e5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