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Armando Jorge Lopes Matins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Rua Padre Inácio Piedade Vasconcelos - 25 - Moradia - B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2005-144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Santarém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2025/07/18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Rua Padre Inácio Piedade Vasconcelos - 25 - Moradia - B, 2005-144Santarém.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000031/2025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46F0C" w:rsidRDefault="00000000" w14:paraId="48EBFC4F" w14:textId="7157067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Pr="00E928DF" w:rsidR="00E928DF">
        <w:rPr>
          <w:rFonts w:ascii="Arial" w:hAnsi="Arial" w:cs="Arial"/>
          <w:sz w:val="20"/>
          <w:szCs w:val="20"/>
          <w:lang w:val="pt-PT"/>
        </w:rPr>
        <w:t>2025/07/18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Pr="00CE7C20" w:rsidR="00CE7C20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 w:rsidRPr="00C4279F" w:rsidR="00C4279F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 w:rsidRPr="00A31086" w:rsidR="00A3108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Rua Padre Inácio Piedade Vasconcelos - 25 - Moradia - B, 2005-144Santarém a solicitação deArmando Jorge Lopes Matins.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Periódica, verificou-se que a mesma havia sido projetada por High e instalada por Nirmal, a qual emitiu o respetivo termo de responsabilidade nº Hi.</w:t>
      </w:r>
    </w:p>
    <w:p xmlns:w14="http://schemas.microsoft.com/office/word/2010/wordml" xmlns:w="http://schemas.openxmlformats.org/wordprocessingml/2006/main" w:rsidR="00746F0C" w:rsidRDefault="00000000" w14:paraId="1AC514DC" w14:textId="7BDC0B66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883C1E" w:rsidR="00883C1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 w:rsidRPr="002F2E9D" w:rsidR="002F2E9D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 w:rsidRPr="008C2AD0" w:rsidR="008C2AD0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2025/07/18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A61368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A61368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.docx" TargetMode="External" Id="Rcb5b1e7ecf4549cb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