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- 45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- 45, 1000-015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000037/2025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1000-015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rule, a qual emitiu o respetivo termo de responsabilidade nº high.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1872504f78474d4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