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RDefault="00E93F06" w:rsidP="00E21B32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="002F2B3A" w:rsidRPr="001E6272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RPr="001E6272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="002F2B3A" w:rsidRPr="00531EB2" w:rsidRDefault="002F2B3A" w:rsidP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2F2B3A" w:rsidRPr="00DA457D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RPr="001E6272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RDefault="000865BD" w:rsidP="00155A05">
            <w:pPr>
              <w:rPr>
                <w:sz w:val="18"/>
                <w:szCs w:val="20"/>
                <w:lang w:val="pt-PT" w:eastAsia="pt-PT"/>
              </w:rPr>
            </w:pPr>
            <w:r w:rsidRPr="000865BD">
              <w:rPr>
                <w:sz w:val="18"/>
                <w:szCs w:val="20"/>
                <w:lang w:val="pt-PT" w:eastAsia="pt-PT"/>
              </w:rPr>
              <w:t>[#ProjectNumber#]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2F2B3A" w:rsidRPr="001E6272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RPr="001E6272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2F2B3A" w:rsidRPr="00561EB5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="002F2B3A" w:rsidRPr="00F332DB" w:rsidRDefault="00531EB2" w:rsidP="00155A0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w:rsidR="00B62BDB" w:rsidRDefault="00D63C7B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RDefault="002F2B3A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="00531EB2" w:rsidRPr="001E627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="00531EB2" w:rsidRPr="00531EB2" w:rsidRDefault="00531EB2" w:rsidP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="00DC7054" w:rsidRPr="005A3CD6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DC7054" w:rsidRPr="00DC7054" w:rsidRDefault="00DC7054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DC7054" w:rsidRPr="00DC7054" w:rsidRDefault="00DC7054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="00F90B03" w:rsidRPr="00DC7054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[#EntityNIF#]</w:t>
            </w:r>
          </w:p>
        </w:tc>
      </w:tr>
      <w:tr w:rsidR="0038334C" w:rsidRPr="00DC7054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[#EntityPhone#]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[#EntityEmail#]</w:t>
            </w:r>
          </w:p>
        </w:tc>
      </w:tr>
      <w:tr w:rsidR="006F3753" w:rsidRP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6F3753" w:rsidRPr="00DC7054" w:rsidRDefault="006F3753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RDefault="006F3753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="00F90B03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[#NIFTRExploracao#]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[#PhoneTRExploracao#]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="0038334C" w:rsidRPr="005A3CD6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="0038334C" w:rsidRPr="0038334C" w:rsidRDefault="0038334C" w:rsidP="00155A05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[#NIFTRProjeto#]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[#PhoneTRProjeto#]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[#DGEGNumTRProjeto#]</w:t>
            </w:r>
          </w:p>
        </w:tc>
      </w:tr>
      <w:tr w:rsidR="0038334C" w:rsidRPr="001E6272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="0038334C" w:rsidRPr="005A3CD6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[#EntidadeInstaladora#]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[#TecnicoRespExecucao#]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[#NIFEntidadeInstaladora#]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[#PhoneEntidadeInstaladora#]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[#DGEGNumTRExecucao#]</w:t>
            </w:r>
          </w:p>
        </w:tc>
      </w:tr>
      <w:tr w:rsidR="0038334C" w:rsidRPr="00DA457D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8334C" w:rsidRPr="00FA5A62" w:rsidRDefault="0038334C" w:rsidP="00155A05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="00FA5A62" w:rsidRPr="006F69D9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0C52ED" w:rsidRP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="000C52ED"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r:id="rId8" w:history="1">
              <w:r w:rsidR="00EF1993" w:rsidRPr="004B7F69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1A33DD">
              <w:rPr>
                <w:sz w:val="18"/>
                <w:szCs w:val="20"/>
                <w:lang w:val="pt-PT" w:eastAsia="pt-PT"/>
              </w:rPr>
              <w:t xml:space="preserve"> </w:t>
            </w:r>
            <w:r w:rsidR="001A33DD" w:rsidRPr="001A33DD">
              <w:rPr>
                <w:sz w:val="18"/>
                <w:szCs w:val="20"/>
                <w:lang w:val="pt-PT" w:eastAsia="pt-PT"/>
              </w:rPr>
              <w:t>[#DGEGNumInspector#]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F3614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63C7B">
              <w:rPr>
                <w:sz w:val="18"/>
                <w:szCs w:val="20"/>
                <w:lang w:val="pt-PT" w:eastAsia="pt-PT"/>
              </w:rPr>
              <w:t xml:space="preserve"> </w:t>
            </w:r>
            <w:r w:rsidR="00D63C7B" w:rsidRPr="00D63C7B">
              <w:rPr>
                <w:sz w:val="18"/>
                <w:szCs w:val="20"/>
                <w:lang w:val="pt-PT" w:eastAsia="pt-PT"/>
              </w:rPr>
              <w:t>[#InspectorNumber#]</w:t>
            </w:r>
          </w:p>
        </w:tc>
      </w:tr>
    </w:tbl>
    <w:p w:rsidR="002F2B3A" w:rsidRDefault="002F2B3A" w:rsidP="009A48A8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="003F0FAD" w:rsidRPr="001E6272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="003F0FAD" w:rsidRPr="00DC268F" w:rsidRDefault="003F0FAD" w:rsidP="00DC268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Tipo:  [#TipoBouC#]</w:t>
            </w:r>
          </w:p>
        </w:tc>
      </w:tr>
      <w:tr w:rsidR="003F0FAD" w:rsidRPr="00DC7054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F0FAD" w:rsidRPr="00DC7054" w:rsidRDefault="003F0FAD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="003F0FAD" w:rsidRPr="003F0FAD" w:rsidRDefault="003F0FAD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="00332D07" w:rsidRPr="00AB4DD0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[#Address#], [#DoorNo#]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="00486B91" w:rsidRP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[#Freguesia#]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[#County#]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  <w:tr w:rsidR="00422206" w:rsidRPr="00DC7054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422206" w:rsidRPr="00DC7054" w:rsidRDefault="00422206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="00422206" w:rsidRPr="003F0FAD" w:rsidRDefault="00422206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="00D368D1" w:rsidRPr="00AB4DD0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instalação: [#ClassificacaoInstalacao#]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pt-PT"/>
              </w:rPr>
              <w:t>[#InstalacaoNOVA#]</w:t>
            </w:r>
          </w:p>
        </w:tc>
      </w:tr>
      <w:tr w:rsidR="00D368D1" w:rsidRPr="00AB4DD0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[#TipoUtilizacaoIndividual#]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pt-PT"/>
              </w:rPr>
              <w:t>[#ProjetoSimNao#]</w:t>
            </w:r>
          </w:p>
        </w:tc>
      </w:tr>
      <w:tr w:rsidR="00521364" w:rsidRPr="005A3CD6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[#NIP#]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[#CPE#]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eastAsiaTheme="minorHAnsi" w:hAnsi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="007F78D1" w:rsidRPr="005A3CD6" w:rsidTr="007F78D1">
        <w:trPr>
          <w:trHeight w:val="188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7F78D1" w:rsidRDefault="007F78D1" w:rsidP="007F78D1">
            <w:pPr>
              <w:tabs>
                <w:tab w:val="clear" w:pos="288"/>
                <w:tab w:val="left" w:pos="2655"/>
              </w:tabs>
              <w:rPr>
                <w:sz w:val="18"/>
                <w:szCs w:val="20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="007F78D1" w:rsidRPr="00AB4DD0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pt-PT"/>
              </w:rPr>
              <w:t>[#EntradaCircuitoMonoTrif#]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Andar: </w:t>
            </w:r>
            <w:r>
              <w:rPr>
                <w:sz w:val="18"/>
                <w:szCs w:val="20"/>
                <w:lang w:val="pt-PT" w:eastAsia="pt-PT"/>
              </w:rPr>
              <w:t>[#OFloor#]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[#OBlock#]</w:t>
            </w:r>
          </w:p>
        </w:tc>
      </w:tr>
      <w:tr w:rsidR="007F78D1" w:rsidRPr="00DA457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[#OutroTipoUtilizacaoIndividual#]</w:t>
            </w:r>
          </w:p>
        </w:tc>
      </w:tr>
      <w:tr w:rsidR="007F78D1" w:rsidRPr="005A3CD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7F78D1" w:rsidRPr="00DC7054" w:rsidRDefault="007F78D1" w:rsidP="007F78D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="007F78D1" w:rsidRPr="003F0FAD" w:rsidRDefault="007F78D1" w:rsidP="007F78D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="007F78D1" w:rsidRPr="00DA457D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[#PCVEInseridoLocal#]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[#CPElimenta#]</w:t>
            </w:r>
          </w:p>
        </w:tc>
      </w:tr>
      <w:tr w:rsidR="007F78D1" w:rsidRPr="005A3CD6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[#PCVETipoAcesso#]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[#PCVEIntegradoMobiE#]</w:t>
            </w:r>
          </w:p>
        </w:tc>
      </w:tr>
      <w:tr w:rsidR="007F78D1" w:rsidRPr="005A3CD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7F78D1" w:rsidRPr="00DC7054" w:rsidRDefault="007F78D1" w:rsidP="007F78D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="007F78D1" w:rsidRPr="003F0FAD" w:rsidRDefault="007F78D1" w:rsidP="007F78D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="007F78D1" w:rsidRPr="001C782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B62BDB" w:rsidRDefault="00D63C7B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C72012" w:rsidRDefault="00C72012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="00886A90" w:rsidRPr="005A3CD6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="00886A90" w:rsidRPr="00886A90" w:rsidRDefault="00886A90" w:rsidP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="00886A90" w:rsidRPr="005A3CD6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="00886A90" w:rsidRPr="005A3CD6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="00886A90" w:rsidRPr="005A3CD6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="00886A90" w:rsidRPr="005A3CD6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 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="00886A90" w:rsidRP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="00886A90" w:rsidRP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</w:t>
            </w:r>
            <w:r>
              <w:rPr>
                <w:sz w:val="18"/>
                <w:szCs w:val="20"/>
                <w:lang w:val="pt-PT" w:eastAsia="pt-PT"/>
              </w:rPr>
              <w:t xml:space="preserve">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[#EquipamentoEnsaiosOutros#]</w:t>
            </w:r>
          </w:p>
        </w:tc>
      </w:tr>
      <w:tr w:rsidR="00886A90" w:rsidRPr="00DC7054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="0012567F" w:rsidRPr="00DC7054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="0012567F" w:rsidRPr="005A3CD6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12567F" w:rsidRPr="00DC7054" w:rsidRDefault="0012567F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12567F" w:rsidRPr="00DC7054" w:rsidRDefault="0012567F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="0012567F" w:rsidRPr="001C782D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B62BDB" w:rsidRDefault="00D63C7B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="0012567F" w:rsidRPr="00DC7054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12567F" w:rsidRPr="00DC7054" w:rsidRDefault="0012567F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12567F" w:rsidRPr="00DC7054" w:rsidRDefault="0012567F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="0012567F" w:rsidRPr="00DC7054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B62BDB" w:rsidRDefault="00D63C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do ato: 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12567F" w:rsidRPr="00C24185" w:rsidRDefault="00155A05" w:rsidP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RDefault="00AF6337" w:rsidP="009A48A8">
      <w:pPr>
        <w:rPr>
          <w:sz w:val="12"/>
          <w:szCs w:val="12"/>
          <w:lang w:val="pt-PT"/>
        </w:rPr>
      </w:pPr>
    </w:p>
    <w:p w:rsidR="00AF6337" w:rsidRDefault="00AF6337" w:rsidP="009A48A8">
      <w:pPr>
        <w:rPr>
          <w:sz w:val="12"/>
          <w:szCs w:val="12"/>
          <w:lang w:val="pt-PT"/>
        </w:rPr>
      </w:pPr>
    </w:p>
    <w:p w:rsidR="0024450D" w:rsidRPr="009F665D" w:rsidRDefault="0024450D" w:rsidP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="00092D47" w:rsidRPr="005A3CD6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Pr="00092D47" w:rsidRDefault="00092D47" w:rsidP="001F22A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:rsidR="00B62BDB" w:rsidRDefault="00D63C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RDefault="00112056" w:rsidP="00155A05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RDefault="00112056" w:rsidP="00155A05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092D47" w:rsidRPr="00112056" w:rsidRDefault="00F7443C" w:rsidP="00155A05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="009116CC" w:rsidRPr="00112056" w:rsidRDefault="009116CC" w:rsidP="00155A05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RDefault="00112056" w:rsidP="001F22A9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w:rsidR="00B62BDB" w:rsidRDefault="00D63C7B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Default="00092D47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Default="00092D47" w:rsidP="00155A05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:rsidR="00B62BDB" w:rsidRDefault="00D63C7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EF1405" w:rsidRPr="00112056" w:rsidRDefault="00EF1405" w:rsidP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="00092D47" w:rsidRPr="00112056" w:rsidRDefault="00EF1405" w:rsidP="00155A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RDefault="00112056" w:rsidP="008C0D10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RDefault="00112056" w:rsidP="008C0D10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092D47" w:rsidRPr="00092D47" w:rsidRDefault="008919E7" w:rsidP="008C0D10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RDefault="00787351" w:rsidP="00BA61B9">
      <w:pPr>
        <w:rPr>
          <w:sz w:val="10"/>
          <w:szCs w:val="10"/>
          <w:lang w:val="pt-PT"/>
        </w:rPr>
      </w:pPr>
    </w:p>
    <w:p w:rsidR="00A71532" w:rsidRPr="0028577F" w:rsidRDefault="00A71532" w:rsidP="00BA61B9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="001273CE" w:rsidRPr="005A3CD6" w:rsidTr="00984220">
        <w:tc>
          <w:tcPr>
            <w:tcW w:w="11437" w:type="dxa"/>
            <w:shd w:val="clear" w:color="auto" w:fill="auto"/>
          </w:tcPr>
          <w:p w:rsidR="001273CE" w:rsidRPr="00293D18" w:rsidRDefault="001273CE" w:rsidP="00997EA4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="001273CE" w:rsidRPr="005A3CD6" w:rsidTr="00984220">
        <w:tc>
          <w:tcPr>
            <w:tcW w:w="11437" w:type="dxa"/>
            <w:shd w:val="clear" w:color="auto" w:fill="D9D9D9"/>
          </w:tcPr>
          <w:p w:rsidR="001273CE" w:rsidRPr="00293D18" w:rsidRDefault="001273CE" w:rsidP="007F310B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="001C782D" w:rsidRP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="001273CE" w:rsidRPr="005A3CD6" w:rsidTr="00984220">
        <w:tc>
          <w:tcPr>
            <w:tcW w:w="11437" w:type="dxa"/>
            <w:shd w:val="clear" w:color="auto" w:fill="auto"/>
          </w:tcPr>
          <w:p w:rsidR="000918C6" w:rsidRPr="00293D18" w:rsidRDefault="00C972D9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="001273CE" w:rsidRPr="005A3CD6" w:rsidTr="00984220">
        <w:tc>
          <w:tcPr>
            <w:tcW w:w="11437" w:type="dxa"/>
            <w:shd w:val="clear" w:color="auto" w:fill="auto"/>
          </w:tcPr>
          <w:p w:rsidR="00651983" w:rsidRPr="00561EB5" w:rsidRDefault="00C972D9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="000918C6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="00651983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="00651983" w:rsidRPr="001C782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="00651983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="0043382E" w:rsidRPr="00293D18" w:rsidRDefault="00C972D9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="0043382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="000918C6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="00651983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="00651983"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="006859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="001273CE" w:rsidRPr="005A3CD6" w:rsidTr="00984220">
        <w:tc>
          <w:tcPr>
            <w:tcW w:w="11437" w:type="dxa"/>
            <w:shd w:val="clear" w:color="auto" w:fill="auto"/>
          </w:tcPr>
          <w:p w:rsidR="001273CE" w:rsidRDefault="00C972D9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="000918C6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RDefault="00293D18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="00293D18" w:rsidRPr="00293D18" w:rsidRDefault="00293D18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</w:p>
        </w:tc>
      </w:tr>
    </w:tbl>
    <w:p w:rsidR="00EC58BD" w:rsidRDefault="00EC58BD" w:rsidP="00BA5E13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8B0" w:rsidRDefault="00E568B0" w:rsidP="00816498">
      <w:r>
        <w:separator/>
      </w:r>
    </w:p>
  </w:endnote>
  <w:endnote w:type="continuationSeparator" w:id="1">
    <w:p w:rsidR="00E568B0" w:rsidRDefault="00E568B0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B62BDB" w:rsidP="00DA647D">
    <w:pPr>
      <w:pStyle w:val="Footer"/>
    </w:pPr>
    <w:r w:rsidRPr="00B62BDB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B62BDB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B62BDB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B62BDB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A33DD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B62BDB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B62BDB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B62BDB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A33DD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B62BDB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B62BDB" w:rsidP="00DB2882">
    <w:pPr>
      <w:pStyle w:val="Footer"/>
      <w:rPr>
        <w:sz w:val="16"/>
        <w:szCs w:val="16"/>
      </w:rPr>
    </w:pPr>
    <w:r w:rsidRPr="00B62BDB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B62BDB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B62BDB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B62BDB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D63C7B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B62BDB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B62BDB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B62BDB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D63C7B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B62BDB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8B0" w:rsidRDefault="00E568B0" w:rsidP="00816498">
      <w:r>
        <w:separator/>
      </w:r>
    </w:p>
  </w:footnote>
  <w:footnote w:type="continuationSeparator" w:id="1">
    <w:p w:rsidR="00E568B0" w:rsidRDefault="00E568B0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521364" w:rsidRDefault="00521364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RDefault="00521364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="00F3614A" w:rsidRPr="00F13694" w:rsidRDefault="00521364" w:rsidP="00521364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>(emitido nos termos do disposto no artigo 11.º do Decreto-Lei n.º 96/2017, de 10 de agosto)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65BD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33DD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2BDB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3C7B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PCVE%20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4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6015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7</cp:revision>
  <dcterms:created xsi:type="dcterms:W3CDTF">2024-05-05T04:03:00Z</dcterms:created>
  <dcterms:modified xsi:type="dcterms:W3CDTF">2024-10-09T05:10:00Z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